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0C57DD" w14:textId="2D5347E8" w:rsidR="00FB539A" w:rsidRPr="00B266B0" w:rsidRDefault="00FB539A" w:rsidP="00FB539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w:t>
      </w:r>
      <w:r w:rsidR="00883BE6">
        <w:rPr>
          <w:bCs/>
          <w:noProof w:val="0"/>
          <w:sz w:val="24"/>
          <w:szCs w:val="24"/>
        </w:rPr>
        <w:t>-</w:t>
      </w:r>
      <w:r w:rsidR="003B767C">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883BE6">
        <w:rPr>
          <w:bCs/>
          <w:noProof w:val="0"/>
          <w:sz w:val="24"/>
          <w:szCs w:val="24"/>
        </w:rPr>
        <w:t>00848</w:t>
      </w:r>
      <w:bookmarkStart w:id="0" w:name="_GoBack"/>
      <w:bookmarkEnd w:id="0"/>
    </w:p>
    <w:p w14:paraId="58F2F30C" w14:textId="351E8CCE" w:rsidR="00994317" w:rsidRPr="00465587" w:rsidRDefault="003B767C" w:rsidP="00FB539A">
      <w:pPr>
        <w:pStyle w:val="Header"/>
        <w:tabs>
          <w:tab w:val="right" w:pos="9639"/>
        </w:tabs>
        <w:rPr>
          <w:rFonts w:eastAsia="SimSun"/>
          <w:bCs/>
          <w:sz w:val="24"/>
          <w:szCs w:val="24"/>
          <w:lang w:eastAsia="zh-CN"/>
        </w:rPr>
      </w:pPr>
      <w:r>
        <w:rPr>
          <w:rFonts w:eastAsia="SimSun"/>
          <w:sz w:val="24"/>
          <w:szCs w:val="24"/>
          <w:lang w:eastAsia="zh-CN"/>
        </w:rPr>
        <w:t>Online</w:t>
      </w:r>
      <w:r w:rsidR="00FB539A" w:rsidRPr="03BF0422">
        <w:rPr>
          <w:rFonts w:eastAsia="SimSun"/>
          <w:sz w:val="24"/>
          <w:szCs w:val="24"/>
          <w:lang w:eastAsia="zh-CN"/>
        </w:rPr>
        <w:t xml:space="preserve">, </w:t>
      </w:r>
      <w:r w:rsidR="00F97373" w:rsidRPr="03BF0422">
        <w:rPr>
          <w:rFonts w:eastAsia="SimSun"/>
          <w:sz w:val="24"/>
          <w:szCs w:val="24"/>
          <w:lang w:eastAsia="zh-CN"/>
        </w:rPr>
        <w:t xml:space="preserve">24 </w:t>
      </w:r>
      <w:r w:rsidR="00F97373">
        <w:rPr>
          <w:rFonts w:eastAsia="SimSun"/>
          <w:sz w:val="24"/>
          <w:szCs w:val="24"/>
          <w:lang w:eastAsia="zh-CN"/>
        </w:rPr>
        <w:t xml:space="preserve">February </w:t>
      </w:r>
      <w:r w:rsidR="00F97373" w:rsidRPr="03BF0422">
        <w:rPr>
          <w:rFonts w:eastAsia="SimSun"/>
          <w:sz w:val="24"/>
          <w:szCs w:val="24"/>
          <w:lang w:eastAsia="zh-CN"/>
        </w:rPr>
        <w:t xml:space="preserve">– </w:t>
      </w:r>
      <w:r w:rsidR="00F97373">
        <w:rPr>
          <w:rFonts w:eastAsia="SimSun"/>
          <w:bCs/>
          <w:sz w:val="24"/>
          <w:szCs w:val="24"/>
          <w:lang w:eastAsia="zh-CN"/>
        </w:rPr>
        <w:t>6 March</w:t>
      </w:r>
      <w:r w:rsidR="00F97373" w:rsidRPr="006574C0">
        <w:rPr>
          <w:rFonts w:eastAsia="SimSun"/>
          <w:bCs/>
          <w:sz w:val="24"/>
          <w:szCs w:val="24"/>
          <w:lang w:eastAsia="zh-CN"/>
        </w:rPr>
        <w:t xml:space="preserve"> 20</w:t>
      </w:r>
      <w:r w:rsidR="00F97373">
        <w:rPr>
          <w:rFonts w:eastAsia="SimSun"/>
          <w:bCs/>
          <w:sz w:val="24"/>
          <w:szCs w:val="24"/>
          <w:lang w:eastAsia="zh-CN"/>
        </w:rPr>
        <w:t>20</w:t>
      </w:r>
      <w:r w:rsidR="00E34934">
        <w:rPr>
          <w:rFonts w:eastAsia="SimSun"/>
          <w:noProof w:val="0"/>
          <w:sz w:val="24"/>
          <w:szCs w:val="24"/>
          <w:lang w:eastAsia="zh-CN"/>
        </w:rPr>
        <w:tab/>
      </w:r>
      <w:r w:rsidR="001D2C3B">
        <w:rPr>
          <w:rFonts w:eastAsia="SimSun"/>
          <w:i/>
          <w:noProof w:val="0"/>
          <w:sz w:val="24"/>
          <w:szCs w:val="24"/>
          <w:lang w:eastAsia="zh-CN"/>
        </w:rPr>
        <w:t xml:space="preserve">Revision of </w:t>
      </w:r>
      <w:r w:rsidR="00E34934" w:rsidRPr="00E34934">
        <w:rPr>
          <w:rFonts w:eastAsia="SimSun"/>
          <w:i/>
          <w:noProof w:val="0"/>
          <w:sz w:val="24"/>
          <w:szCs w:val="24"/>
          <w:lang w:eastAsia="zh-CN"/>
        </w:rPr>
        <w:t>R2-191</w:t>
      </w:r>
      <w:r w:rsidR="00FB539A">
        <w:rPr>
          <w:rFonts w:eastAsia="SimSun"/>
          <w:i/>
          <w:noProof w:val="0"/>
          <w:sz w:val="24"/>
          <w:szCs w:val="24"/>
          <w:lang w:eastAsia="zh-CN"/>
        </w:rPr>
        <w:t>5322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87DEC47" w:rsidR="00A209D6" w:rsidRPr="00212C18" w:rsidRDefault="00A209D6" w:rsidP="00A209D6">
      <w:pPr>
        <w:pStyle w:val="CRCoverPage"/>
        <w:tabs>
          <w:tab w:val="left" w:pos="1985"/>
        </w:tabs>
        <w:rPr>
          <w:rFonts w:cs="Arial"/>
          <w:b/>
          <w:bCs/>
          <w:sz w:val="24"/>
          <w:lang w:eastAsia="ja-JP"/>
        </w:rPr>
      </w:pPr>
      <w:r w:rsidRPr="00C81E94">
        <w:rPr>
          <w:rFonts w:cs="Arial"/>
          <w:b/>
          <w:bCs/>
          <w:sz w:val="24"/>
        </w:rPr>
        <w:t>Agenda item:</w:t>
      </w:r>
      <w:r w:rsidRPr="00C81E94">
        <w:rPr>
          <w:rFonts w:cs="Arial"/>
          <w:b/>
          <w:bCs/>
          <w:sz w:val="24"/>
        </w:rPr>
        <w:tab/>
      </w:r>
      <w:r w:rsidR="00F74452">
        <w:rPr>
          <w:rFonts w:cs="Arial"/>
          <w:b/>
          <w:bCs/>
          <w:sz w:val="24"/>
          <w:lang w:eastAsia="ja-JP"/>
        </w:rPr>
        <w:t>6</w:t>
      </w:r>
      <w:r w:rsidRPr="00C81E94">
        <w:rPr>
          <w:rFonts w:cs="Arial"/>
          <w:b/>
          <w:bCs/>
          <w:sz w:val="24"/>
          <w:lang w:eastAsia="ja-JP"/>
        </w:rPr>
        <w:t>.</w:t>
      </w:r>
      <w:r w:rsidR="00AB057E" w:rsidRPr="00C81E94">
        <w:rPr>
          <w:rFonts w:cs="Arial"/>
          <w:b/>
          <w:bCs/>
          <w:sz w:val="24"/>
          <w:lang w:eastAsia="ja-JP"/>
        </w:rPr>
        <w:t>1</w:t>
      </w:r>
      <w:r w:rsidRPr="00C81E94">
        <w:rPr>
          <w:rFonts w:cs="Arial"/>
          <w:b/>
          <w:bCs/>
          <w:sz w:val="24"/>
          <w:lang w:eastAsia="ja-JP"/>
        </w:rPr>
        <w:t>.</w:t>
      </w:r>
      <w:r w:rsidR="007D0FA6" w:rsidRPr="00C81E94">
        <w:rPr>
          <w:rFonts w:cs="Arial"/>
          <w:b/>
          <w:bCs/>
          <w:sz w:val="24"/>
          <w:lang w:eastAsia="ja-JP"/>
        </w:rPr>
        <w:t>4</w:t>
      </w:r>
    </w:p>
    <w:p w14:paraId="73188B46" w14:textId="77777777"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t>Nokia, Nokia Shanghai Bell</w:t>
      </w:r>
    </w:p>
    <w:p w14:paraId="0FA3EF00" w14:textId="2F96D461"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D71533">
        <w:rPr>
          <w:rFonts w:ascii="Arial" w:hAnsi="Arial" w:cs="Arial"/>
          <w:b/>
          <w:bCs/>
          <w:sz w:val="24"/>
        </w:rPr>
        <w:t>Remaining issues of b</w:t>
      </w:r>
      <w:r w:rsidR="00053F20">
        <w:rPr>
          <w:rFonts w:ascii="Arial" w:hAnsi="Arial" w:cs="Arial"/>
          <w:b/>
          <w:bCs/>
          <w:sz w:val="24"/>
        </w:rPr>
        <w:t xml:space="preserve">uffer status reporting </w:t>
      </w:r>
      <w:r w:rsidR="00E1058E">
        <w:rPr>
          <w:rFonts w:ascii="Arial" w:hAnsi="Arial" w:cs="Arial"/>
          <w:b/>
          <w:bCs/>
          <w:sz w:val="24"/>
        </w:rPr>
        <w:t>for IAB</w:t>
      </w:r>
    </w:p>
    <w:p w14:paraId="1F147C23" w14:textId="1AB7682D" w:rsidR="00A209D6" w:rsidRPr="00212C18" w:rsidRDefault="00A209D6" w:rsidP="00A209D6">
      <w:pPr>
        <w:ind w:left="1985" w:hanging="1985"/>
        <w:rPr>
          <w:rFonts w:ascii="Arial" w:hAnsi="Arial" w:cs="Arial"/>
          <w:b/>
          <w:bCs/>
          <w:sz w:val="24"/>
        </w:rPr>
      </w:pPr>
      <w:r w:rsidRPr="00212C18">
        <w:rPr>
          <w:rFonts w:ascii="Arial" w:hAnsi="Arial" w:cs="Arial"/>
          <w:b/>
          <w:bCs/>
          <w:sz w:val="24"/>
        </w:rPr>
        <w:t>WID/SID:</w:t>
      </w:r>
      <w:r w:rsidRPr="00212C18">
        <w:rPr>
          <w:rFonts w:ascii="Arial" w:hAnsi="Arial" w:cs="Arial"/>
          <w:b/>
          <w:bCs/>
          <w:sz w:val="24"/>
        </w:rPr>
        <w:tab/>
        <w:t>NR_</w:t>
      </w:r>
      <w:r w:rsidR="00294879" w:rsidRPr="00212C18">
        <w:rPr>
          <w:rFonts w:ascii="Arial" w:hAnsi="Arial" w:cs="Arial"/>
          <w:b/>
          <w:bCs/>
          <w:sz w:val="24"/>
        </w:rPr>
        <w:t>IAB</w:t>
      </w:r>
      <w:r w:rsidRPr="00212C18">
        <w:rPr>
          <w:rFonts w:ascii="Arial" w:hAnsi="Arial" w:cs="Arial"/>
          <w:b/>
          <w:bCs/>
          <w:sz w:val="24"/>
        </w:rPr>
        <w:t xml:space="preserve">-Core </w:t>
      </w:r>
      <w:r w:rsidR="00294879" w:rsidRPr="00212C18">
        <w:rPr>
          <w:rFonts w:ascii="Arial" w:hAnsi="Arial" w:cs="Arial"/>
          <w:b/>
          <w:bCs/>
          <w:sz w:val="24"/>
        </w:rPr>
        <w:t>- Release 16</w:t>
      </w:r>
    </w:p>
    <w:p w14:paraId="6FEB19D6" w14:textId="77777777" w:rsidR="00A209D6" w:rsidRPr="00212C18"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294B1FC1" w14:textId="1295FC4A" w:rsidR="00A209D6" w:rsidRDefault="00A209D6" w:rsidP="00A209D6">
      <w:pPr>
        <w:pStyle w:val="Heading1"/>
      </w:pPr>
      <w:r w:rsidRPr="00212C18">
        <w:t>1</w:t>
      </w:r>
      <w:r w:rsidRPr="00212C18">
        <w:tab/>
        <w:t>Introduction</w:t>
      </w:r>
    </w:p>
    <w:p w14:paraId="0E5605F3" w14:textId="5B2EC675" w:rsidR="00F74452" w:rsidRDefault="00F74452" w:rsidP="00FC0643">
      <w:r>
        <w:t>In the RAN2#107 meeting, the following was agreed:</w:t>
      </w:r>
    </w:p>
    <w:tbl>
      <w:tblPr>
        <w:tblStyle w:val="TableGrid"/>
        <w:tblW w:w="0" w:type="auto"/>
        <w:tblLook w:val="04A0" w:firstRow="1" w:lastRow="0" w:firstColumn="1" w:lastColumn="0" w:noHBand="0" w:noVBand="1"/>
      </w:tblPr>
      <w:tblGrid>
        <w:gridCol w:w="9631"/>
      </w:tblGrid>
      <w:tr w:rsidR="00F74452" w14:paraId="601E300D" w14:textId="77777777" w:rsidTr="00F74452">
        <w:tc>
          <w:tcPr>
            <w:tcW w:w="9631" w:type="dxa"/>
            <w:shd w:val="clear" w:color="auto" w:fill="F2F2F2" w:themeFill="background1" w:themeFillShade="F2"/>
          </w:tcPr>
          <w:p w14:paraId="32B329AC" w14:textId="77777777" w:rsidR="00F74452" w:rsidRPr="00F74452" w:rsidRDefault="00F74452" w:rsidP="00F74452">
            <w:pPr>
              <w:pStyle w:val="Agreement"/>
              <w:rPr>
                <w:i/>
                <w:lang w:val="en-US"/>
              </w:rPr>
            </w:pPr>
            <w:r w:rsidRPr="00F74452">
              <w:rPr>
                <w:i/>
                <w:lang w:val="en-US"/>
              </w:rPr>
              <w:t xml:space="preserve">Will have “preemptive” BSR. </w:t>
            </w:r>
          </w:p>
          <w:p w14:paraId="1E52822E" w14:textId="77777777" w:rsidR="00F74452" w:rsidRPr="00F74452" w:rsidRDefault="00F74452" w:rsidP="00F74452">
            <w:pPr>
              <w:pStyle w:val="Agreement"/>
              <w:rPr>
                <w:i/>
                <w:lang w:val="en-US" w:eastAsia="zh-CN"/>
              </w:rPr>
            </w:pPr>
            <w:r w:rsidRPr="00F74452">
              <w:rPr>
                <w:i/>
                <w:lang w:val="en-US" w:eastAsia="zh-CN"/>
              </w:rPr>
              <w:t>R2 assumes that any new triggering rules are only introduced for pre-emptive BSR, i.e. SR triggering is then governed by NR Rel-15 baseline (pre-emptive BSR = regular BSR from SR triggering point of view).</w:t>
            </w:r>
          </w:p>
          <w:p w14:paraId="286259DD" w14:textId="4D542A4F" w:rsidR="00F74452" w:rsidRPr="00F74452" w:rsidRDefault="00F74452" w:rsidP="00FC0643">
            <w:pPr>
              <w:pStyle w:val="Agreement"/>
              <w:rPr>
                <w:lang w:val="en-US" w:eastAsia="zh-CN"/>
              </w:rPr>
            </w:pPr>
            <w:r w:rsidRPr="00F74452">
              <w:rPr>
                <w:i/>
                <w:lang w:val="en-US" w:eastAsia="zh-CN"/>
              </w:rPr>
              <w:t>R2 assumes that Both types of triggers for pre-emptive BSR that were discussed (1. based on UL grants provided to child nodes and/or UEs, and 2. based on BSRs from child nodes or UEs) can be supported for IAB Rel-16 operation. FFS what details need to be specified.</w:t>
            </w:r>
            <w:r>
              <w:rPr>
                <w:lang w:val="en-US" w:eastAsia="zh-CN"/>
              </w:rPr>
              <w:t xml:space="preserve"> </w:t>
            </w:r>
          </w:p>
        </w:tc>
      </w:tr>
    </w:tbl>
    <w:p w14:paraId="037310BC" w14:textId="2C806C38" w:rsidR="00F74452" w:rsidRDefault="00F74452" w:rsidP="00FC0643"/>
    <w:p w14:paraId="55C46188" w14:textId="4270F7EF" w:rsidR="001D2C3B" w:rsidRDefault="001D2C3B" w:rsidP="00FC0643">
      <w:r>
        <w:t>Furthermore, the following was agreed in RAN2#107-Bis</w:t>
      </w:r>
      <w:r w:rsidR="00FB539A">
        <w:t xml:space="preserve"> and RAN2#108</w:t>
      </w:r>
      <w:r>
        <w:t xml:space="preserve"> meeting</w:t>
      </w:r>
      <w:r w:rsidR="00FB539A">
        <w:t>s, respectively</w:t>
      </w:r>
      <w:r>
        <w:t>:</w:t>
      </w:r>
    </w:p>
    <w:tbl>
      <w:tblPr>
        <w:tblStyle w:val="TableGrid"/>
        <w:tblW w:w="0" w:type="auto"/>
        <w:tblLook w:val="04A0" w:firstRow="1" w:lastRow="0" w:firstColumn="1" w:lastColumn="0" w:noHBand="0" w:noVBand="1"/>
      </w:tblPr>
      <w:tblGrid>
        <w:gridCol w:w="9631"/>
      </w:tblGrid>
      <w:tr w:rsidR="001D2C3B" w14:paraId="686E73BD" w14:textId="77777777" w:rsidTr="001D2C3B">
        <w:tc>
          <w:tcPr>
            <w:tcW w:w="9631" w:type="dxa"/>
            <w:shd w:val="clear" w:color="auto" w:fill="F2F2F2" w:themeFill="background1" w:themeFillShade="F2"/>
          </w:tcPr>
          <w:p w14:paraId="1D65F9EE" w14:textId="77777777" w:rsidR="001D2C3B" w:rsidRPr="001D2C3B" w:rsidRDefault="001D2C3B" w:rsidP="001D2C3B">
            <w:pPr>
              <w:pStyle w:val="Agreement"/>
              <w:rPr>
                <w:i/>
              </w:rPr>
            </w:pPr>
            <w:r w:rsidRPr="001D2C3B">
              <w:rPr>
                <w:i/>
                <w:lang w:val="en-US"/>
              </w:rPr>
              <w:t>RAN2 will not specify any normative solution to the perceived issue of possible resource wastage due to introduction of pre-emptive BSR.</w:t>
            </w:r>
          </w:p>
          <w:p w14:paraId="533D0ED2" w14:textId="597179AC" w:rsidR="001D2C3B" w:rsidRPr="001D2C3B" w:rsidRDefault="001D2C3B" w:rsidP="001D2C3B">
            <w:pPr>
              <w:pStyle w:val="Agreement"/>
              <w:rPr>
                <w:lang w:val="en-US"/>
              </w:rPr>
            </w:pPr>
            <w:r w:rsidRPr="001D2C3B">
              <w:rPr>
                <w:i/>
                <w:lang w:val="en-US"/>
              </w:rPr>
              <w:t>Confirmation that this is the expected enhanced behavior: Following the reception by the second (parent) node of a BSR from a first (child) node, resources may be requested from the third node (parent of second node) before actual data arrives from the first node</w:t>
            </w:r>
            <w:r w:rsidRPr="00AD3BA7">
              <w:rPr>
                <w:lang w:val="en-US"/>
              </w:rPr>
              <w:t xml:space="preserve"> </w:t>
            </w:r>
          </w:p>
        </w:tc>
      </w:tr>
    </w:tbl>
    <w:p w14:paraId="7946F18A" w14:textId="02FEDEEE" w:rsidR="001D2C3B" w:rsidRDefault="001D2C3B" w:rsidP="00FC0643"/>
    <w:tbl>
      <w:tblPr>
        <w:tblStyle w:val="TableGrid"/>
        <w:tblW w:w="0" w:type="auto"/>
        <w:tblLook w:val="04A0" w:firstRow="1" w:lastRow="0" w:firstColumn="1" w:lastColumn="0" w:noHBand="0" w:noVBand="1"/>
      </w:tblPr>
      <w:tblGrid>
        <w:gridCol w:w="9631"/>
      </w:tblGrid>
      <w:tr w:rsidR="00FB539A" w14:paraId="35A77966" w14:textId="77777777" w:rsidTr="00FB539A">
        <w:tc>
          <w:tcPr>
            <w:tcW w:w="9631" w:type="dxa"/>
            <w:shd w:val="clear" w:color="auto" w:fill="F2F2F2" w:themeFill="background1" w:themeFillShade="F2"/>
          </w:tcPr>
          <w:p w14:paraId="01642A37" w14:textId="77777777" w:rsidR="00FB539A" w:rsidRPr="00FB539A" w:rsidRDefault="00FB539A" w:rsidP="00FB539A">
            <w:pPr>
              <w:pStyle w:val="Agreement"/>
              <w:numPr>
                <w:ilvl w:val="0"/>
                <w:numId w:val="11"/>
              </w:numPr>
              <w:tabs>
                <w:tab w:val="clear" w:pos="4680"/>
                <w:tab w:val="num" w:pos="1619"/>
              </w:tabs>
              <w:ind w:left="1619"/>
              <w:rPr>
                <w:i/>
                <w:iCs/>
                <w:lang w:val="en-US" w:eastAsia="ja-JP"/>
              </w:rPr>
            </w:pPr>
            <w:r w:rsidRPr="00FB539A">
              <w:rPr>
                <w:i/>
                <w:iCs/>
                <w:lang w:val="en-US"/>
              </w:rPr>
              <w:t xml:space="preserve">We specify a new BSR (with a new format), for pre-emptive BSR. </w:t>
            </w:r>
          </w:p>
          <w:p w14:paraId="7AB424FE" w14:textId="77777777" w:rsidR="00FB539A" w:rsidRPr="00FB539A" w:rsidRDefault="00FB539A" w:rsidP="00FB539A">
            <w:pPr>
              <w:pStyle w:val="Agreement"/>
              <w:numPr>
                <w:ilvl w:val="0"/>
                <w:numId w:val="11"/>
              </w:numPr>
              <w:tabs>
                <w:tab w:val="clear" w:pos="4680"/>
                <w:tab w:val="num" w:pos="1619"/>
              </w:tabs>
              <w:ind w:left="1619"/>
              <w:rPr>
                <w:i/>
                <w:iCs/>
                <w:lang w:val="en-US"/>
              </w:rPr>
            </w:pPr>
            <w:r w:rsidRPr="00FB539A">
              <w:rPr>
                <w:i/>
                <w:iCs/>
                <w:lang w:val="en-US"/>
              </w:rPr>
              <w:t>For the new BSR</w:t>
            </w:r>
          </w:p>
          <w:p w14:paraId="3DD87FB1" w14:textId="34A902ED" w:rsidR="00FB539A" w:rsidRPr="00FB539A" w:rsidRDefault="00FB539A" w:rsidP="00FB539A">
            <w:pPr>
              <w:pStyle w:val="Doc-text2"/>
              <w:ind w:left="1619" w:firstLine="0"/>
              <w:rPr>
                <w:b/>
                <w:lang w:val="en-US"/>
              </w:rPr>
            </w:pPr>
            <w:r w:rsidRPr="00FB539A">
              <w:rPr>
                <w:b/>
                <w:i/>
                <w:iCs/>
                <w:lang w:val="en-US"/>
              </w:rPr>
              <w:t xml:space="preserve">- differentiate in BSR available data (as today) and expected data. </w:t>
            </w:r>
            <w:r w:rsidRPr="00FB539A">
              <w:rPr>
                <w:b/>
                <w:i/>
                <w:iCs/>
                <w:lang w:val="en-US"/>
              </w:rPr>
              <w:br/>
              <w:t xml:space="preserve">- Associating </w:t>
            </w:r>
            <w:proofErr w:type="gramStart"/>
            <w:r w:rsidRPr="00FB539A">
              <w:rPr>
                <w:b/>
                <w:i/>
                <w:iCs/>
                <w:lang w:val="en-US"/>
              </w:rPr>
              <w:t>a</w:t>
            </w:r>
            <w:proofErr w:type="gramEnd"/>
            <w:r w:rsidRPr="00FB539A">
              <w:rPr>
                <w:b/>
                <w:i/>
                <w:iCs/>
                <w:lang w:val="en-US"/>
              </w:rPr>
              <w:t xml:space="preserve"> LCH with pre-emptive BSR is left to implementation, unless issues are identified requiring normative solutions. </w:t>
            </w:r>
            <w:r w:rsidRPr="00FB539A">
              <w:rPr>
                <w:b/>
                <w:i/>
                <w:iCs/>
                <w:lang w:val="en-US"/>
              </w:rPr>
              <w:br/>
              <w:t xml:space="preserve">- FFS if SR and BSR generated by a MAC entity need or can only be reported to the parent node where the peer of that MAC entity resides. </w:t>
            </w:r>
            <w:r w:rsidRPr="00FB539A">
              <w:rPr>
                <w:b/>
                <w:i/>
                <w:iCs/>
                <w:lang w:val="en-US"/>
              </w:rPr>
              <w:br/>
              <w:t xml:space="preserve">- On Triggering of pre-emptive BSR, can capture some text </w:t>
            </w:r>
            <w:proofErr w:type="gramStart"/>
            <w:r w:rsidRPr="00FB539A">
              <w:rPr>
                <w:b/>
                <w:i/>
                <w:iCs/>
                <w:lang w:val="en-US"/>
              </w:rPr>
              <w:t>similar to</w:t>
            </w:r>
            <w:proofErr w:type="gramEnd"/>
            <w:r w:rsidRPr="00FB539A">
              <w:rPr>
                <w:b/>
                <w:i/>
                <w:iCs/>
                <w:lang w:val="en-US"/>
              </w:rPr>
              <w:t xml:space="preserve"> the current agreements, in stage-3/2. </w:t>
            </w:r>
            <w:r w:rsidRPr="00FB539A">
              <w:rPr>
                <w:b/>
                <w:i/>
                <w:iCs/>
                <w:lang w:val="en-US"/>
              </w:rPr>
              <w:br/>
              <w:t>- Exact timing etc is up to implementation.</w:t>
            </w:r>
            <w:r>
              <w:rPr>
                <w:b/>
                <w:lang w:val="en-US"/>
              </w:rPr>
              <w:t xml:space="preserve">  </w:t>
            </w:r>
          </w:p>
        </w:tc>
      </w:tr>
    </w:tbl>
    <w:p w14:paraId="06BB07B0" w14:textId="77777777" w:rsidR="00FB539A" w:rsidRDefault="00FB539A" w:rsidP="00FC0643"/>
    <w:p w14:paraId="35B5E929" w14:textId="5255DCF1" w:rsidR="007E44CC" w:rsidRPr="00212C18" w:rsidRDefault="007E44CC" w:rsidP="00FC0643">
      <w:r>
        <w:t>In this contribution we discuss</w:t>
      </w:r>
      <w:r w:rsidR="00F74452">
        <w:t xml:space="preserve"> </w:t>
      </w:r>
      <w:r w:rsidR="00053F20">
        <w:t>the buffer status reporting principles for IAB nodes</w:t>
      </w:r>
      <w:r>
        <w:t>.</w:t>
      </w:r>
    </w:p>
    <w:p w14:paraId="2BBFF540" w14:textId="672444DB" w:rsidR="00A209D6" w:rsidRDefault="00A209D6" w:rsidP="00A209D6">
      <w:pPr>
        <w:pStyle w:val="Heading1"/>
      </w:pPr>
      <w:r w:rsidRPr="00212C18">
        <w:lastRenderedPageBreak/>
        <w:t>2</w:t>
      </w:r>
      <w:r w:rsidRPr="00212C18">
        <w:tab/>
      </w:r>
      <w:r w:rsidR="00E1058E">
        <w:t>Discussion</w:t>
      </w:r>
    </w:p>
    <w:p w14:paraId="7AB9D591" w14:textId="6657B00B" w:rsidR="00D97F9F" w:rsidRDefault="00D97F9F" w:rsidP="00B41627">
      <w:pPr>
        <w:pStyle w:val="Heading2"/>
      </w:pPr>
      <w:r>
        <w:t>2.</w:t>
      </w:r>
      <w:r w:rsidR="00FB539A">
        <w:t>1</w:t>
      </w:r>
      <w:r>
        <w:tab/>
      </w:r>
      <w:r w:rsidR="00A70A99">
        <w:t xml:space="preserve">Predicted data in the </w:t>
      </w:r>
      <w:r>
        <w:t>pre-emptive BSR</w:t>
      </w:r>
    </w:p>
    <w:p w14:paraId="6B607D93" w14:textId="21023BA3" w:rsidR="00A70A99" w:rsidRDefault="00A70A99" w:rsidP="00A70A99">
      <w:r>
        <w:t xml:space="preserve">The data volume reported by a child IAB node or an access UE connected to an IAB node DU represents the data available in the child IAB node or the access UE. However, the parent IAB node may not have enough resources (in </w:t>
      </w:r>
      <w:proofErr w:type="gramStart"/>
      <w:r>
        <w:t>its</w:t>
      </w:r>
      <w:proofErr w:type="gramEnd"/>
      <w:r>
        <w:t xml:space="preserve"> backhaul link or access link) to schedule all that data and therefore, the parent IAB node may send much smaller UL grants to the child IAB nodes or the access UEs. Therefore, it is better to use as additional data available for transmission the data volume associated with the UL grants sent by the IAB node since that gives more realistic view of the expected data volume. This will reduce the amount of wasted UL grants provided by the parent IAB node. Naturally, this does not preclude using the BSRs received </w:t>
      </w:r>
      <w:r w:rsidR="00220AA4">
        <w:t xml:space="preserve">from </w:t>
      </w:r>
      <w:r>
        <w:t>the child IAB nodes and the access UEs for triggering the pre-emptive BSR.</w:t>
      </w:r>
    </w:p>
    <w:p w14:paraId="369C849F" w14:textId="1D6BACD9" w:rsidR="00D97F9F" w:rsidRPr="00A70A99" w:rsidRDefault="00A70A99" w:rsidP="00D97F9F">
      <w:pPr>
        <w:rPr>
          <w:b/>
        </w:rPr>
      </w:pPr>
      <w:r>
        <w:rPr>
          <w:b/>
        </w:rPr>
        <w:t xml:space="preserve">Proposal </w:t>
      </w:r>
      <w:r w:rsidR="00FB539A">
        <w:rPr>
          <w:b/>
        </w:rPr>
        <w:t>1</w:t>
      </w:r>
      <w:r>
        <w:rPr>
          <w:b/>
        </w:rPr>
        <w:t>: The</w:t>
      </w:r>
      <w:r w:rsidR="00053F20">
        <w:rPr>
          <w:b/>
        </w:rPr>
        <w:t xml:space="preserve"> amount of</w:t>
      </w:r>
      <w:r>
        <w:rPr>
          <w:b/>
        </w:rPr>
        <w:t xml:space="preserve"> predicted data reported in the pre-emptive BSR is based on the UL grants provided by the IAB node to its child IAB nodes/UEs.</w:t>
      </w:r>
    </w:p>
    <w:p w14:paraId="224E86C0" w14:textId="1A477EC9" w:rsidR="00053F20" w:rsidRDefault="00053F20" w:rsidP="00A70A99">
      <w:r>
        <w:t>It should be noted that the available backhaul data in the IAB MT buffer should follow the BSR triggering and reporting principles specified in Rel-15 NR. However, when the pre-emptive BSR is triggered</w:t>
      </w:r>
      <w:r w:rsidR="00D71533">
        <w:t xml:space="preserve"> to be sent</w:t>
      </w:r>
      <w:r>
        <w:t xml:space="preserve">, </w:t>
      </w:r>
      <w:r w:rsidR="00460874">
        <w:t>the available backhaul data in the IAB MT buffer could also be reported.</w:t>
      </w:r>
    </w:p>
    <w:p w14:paraId="0D5516C0" w14:textId="43D95117" w:rsidR="00460874" w:rsidRPr="00460874" w:rsidRDefault="00460874" w:rsidP="00A70A99">
      <w:pPr>
        <w:rPr>
          <w:b/>
        </w:rPr>
      </w:pPr>
      <w:r>
        <w:rPr>
          <w:b/>
        </w:rPr>
        <w:t xml:space="preserve">Proposal </w:t>
      </w:r>
      <w:r w:rsidR="00D71533">
        <w:rPr>
          <w:b/>
        </w:rPr>
        <w:t>2</w:t>
      </w:r>
      <w:r>
        <w:rPr>
          <w:b/>
        </w:rPr>
        <w:t>: Available backhaul data in the IAB MT buffer is reported always along the pre-emptive BSR.</w:t>
      </w:r>
    </w:p>
    <w:p w14:paraId="68CA5BAA" w14:textId="4AED3866" w:rsidR="00460874" w:rsidRDefault="00460874" w:rsidP="00B41627">
      <w:pPr>
        <w:pStyle w:val="Heading2"/>
      </w:pPr>
      <w:r>
        <w:t>2.</w:t>
      </w:r>
      <w:r w:rsidR="00D71533">
        <w:t>2</w:t>
      </w:r>
      <w:r>
        <w:tab/>
        <w:t>SR resource used for the pre-emptive BSR</w:t>
      </w:r>
    </w:p>
    <w:p w14:paraId="302EC0A4" w14:textId="02424CAB" w:rsidR="00460874" w:rsidRDefault="00460874" w:rsidP="00460874">
      <w:r>
        <w:t xml:space="preserve">Currently, the SR configuration of the LCH (Logical Channel) that triggered the BSR is considered as corresponding to the triggered SR. Furthermore, </w:t>
      </w:r>
      <w:r w:rsidR="00A13944">
        <w:t>f</w:t>
      </w:r>
      <w:r w:rsidRPr="00460874">
        <w:t xml:space="preserve">or BSR triggered by </w:t>
      </w:r>
      <w:r w:rsidRPr="00460874">
        <w:rPr>
          <w:i/>
        </w:rPr>
        <w:t>retxBSR-Timer</w:t>
      </w:r>
      <w:r w:rsidRPr="00460874">
        <w:t xml:space="preserve"> expiry, the MAC entity considers that the </w:t>
      </w:r>
      <w:r>
        <w:t xml:space="preserve">LCH </w:t>
      </w:r>
      <w:r w:rsidRPr="00460874">
        <w:t xml:space="preserve">that triggered the BSR is the highest priority </w:t>
      </w:r>
      <w:r>
        <w:t xml:space="preserve">LCH </w:t>
      </w:r>
      <w:r w:rsidRPr="00460874">
        <w:t>that has data available for transmission at the time the BSR is triggered.</w:t>
      </w:r>
    </w:p>
    <w:p w14:paraId="1DC1E27A" w14:textId="7D6CA1C2" w:rsidR="00460874" w:rsidRDefault="00460874" w:rsidP="00460874">
      <w:r>
        <w:t xml:space="preserve">Given that the IAB node does not know in detail what type of data the predicted data consists, the SR configuration used, when the BSR is triggered by the pre-emptive BSR, could be based on the highest priority </w:t>
      </w:r>
      <w:r w:rsidR="00B3457D">
        <w:t xml:space="preserve">backhaul </w:t>
      </w:r>
      <w:r>
        <w:t xml:space="preserve">LCH that has data available for transmission in the IAB MT buffer. </w:t>
      </w:r>
      <w:bookmarkStart w:id="1" w:name="_Hlk20847543"/>
      <w:r>
        <w:t>In case no data is available in the IAB MT buffer, i</w:t>
      </w:r>
      <w:r w:rsidR="005916C9">
        <w:t>.</w:t>
      </w:r>
      <w:r>
        <w:t>e., only predicted data is reported, the SR configuration to use could be any configured for the IAB node (that is, up to implementation).</w:t>
      </w:r>
      <w:bookmarkEnd w:id="1"/>
    </w:p>
    <w:p w14:paraId="26B3F8D2" w14:textId="056AEAB7" w:rsidR="00460874" w:rsidRPr="00B3457D" w:rsidRDefault="00B3457D" w:rsidP="00460874">
      <w:pPr>
        <w:rPr>
          <w:b/>
        </w:rPr>
      </w:pPr>
      <w:r>
        <w:rPr>
          <w:b/>
        </w:rPr>
        <w:t xml:space="preserve">Proposal </w:t>
      </w:r>
      <w:r w:rsidR="00D71533">
        <w:rPr>
          <w:b/>
        </w:rPr>
        <w:t>3</w:t>
      </w:r>
      <w:r>
        <w:rPr>
          <w:b/>
        </w:rPr>
        <w:t>: T</w:t>
      </w:r>
      <w:r w:rsidRPr="00B3457D">
        <w:rPr>
          <w:b/>
        </w:rPr>
        <w:t xml:space="preserve">he SR configuration used, when the BSR is triggered by the pre-emptive BSR, </w:t>
      </w:r>
      <w:r>
        <w:rPr>
          <w:b/>
        </w:rPr>
        <w:t xml:space="preserve">is </w:t>
      </w:r>
      <w:r w:rsidRPr="00B3457D">
        <w:rPr>
          <w:b/>
        </w:rPr>
        <w:t>based on the highest priority</w:t>
      </w:r>
      <w:r>
        <w:rPr>
          <w:b/>
        </w:rPr>
        <w:t xml:space="preserve"> backhaul</w:t>
      </w:r>
      <w:r w:rsidRPr="00B3457D">
        <w:rPr>
          <w:b/>
        </w:rPr>
        <w:t xml:space="preserve"> LCH that has data available for transmission in the IAB MT buffer</w:t>
      </w:r>
      <w:r>
        <w:rPr>
          <w:b/>
        </w:rPr>
        <w:t>.</w:t>
      </w:r>
      <w:r w:rsidRPr="00B3457D">
        <w:t xml:space="preserve"> </w:t>
      </w:r>
      <w:r w:rsidRPr="00B3457D">
        <w:rPr>
          <w:b/>
        </w:rPr>
        <w:t>In case no data is available in the IAB MT buffer, i</w:t>
      </w:r>
      <w:r w:rsidR="005916C9">
        <w:rPr>
          <w:b/>
        </w:rPr>
        <w:t>.</w:t>
      </w:r>
      <w:r w:rsidRPr="00B3457D">
        <w:rPr>
          <w:b/>
        </w:rPr>
        <w:t xml:space="preserve">e., only predicted data is reported, the </w:t>
      </w:r>
      <w:r>
        <w:rPr>
          <w:b/>
        </w:rPr>
        <w:t>IAB node can use any SR configuration available</w:t>
      </w:r>
      <w:r w:rsidRPr="00B3457D">
        <w:rPr>
          <w:b/>
        </w:rPr>
        <w:t>.</w:t>
      </w:r>
    </w:p>
    <w:p w14:paraId="5FF2457F" w14:textId="75107F13" w:rsidR="00A209D6" w:rsidRPr="00212C18" w:rsidRDefault="00A209D6" w:rsidP="00A209D6">
      <w:pPr>
        <w:pStyle w:val="Heading1"/>
      </w:pPr>
      <w:r w:rsidRPr="00212C18">
        <w:t>3</w:t>
      </w:r>
      <w:r w:rsidRPr="00212C18">
        <w:tab/>
      </w:r>
      <w:r w:rsidR="003E2413" w:rsidRPr="00212C18">
        <w:t>Conclusions</w:t>
      </w:r>
    </w:p>
    <w:p w14:paraId="1D4ED603" w14:textId="62B81C18" w:rsidR="005D59F2" w:rsidRDefault="00597652" w:rsidP="005D59F2">
      <w:pPr>
        <w:rPr>
          <w:b/>
        </w:rPr>
      </w:pPr>
      <w:r>
        <w:t>The BSR reporting principles of the IAB node was discussed, the following is proposed</w:t>
      </w:r>
      <w:r w:rsidR="005D59F2">
        <w:t>:</w:t>
      </w:r>
    </w:p>
    <w:p w14:paraId="632C86BD" w14:textId="7F9EB161" w:rsidR="00597652" w:rsidRPr="00A70A99" w:rsidRDefault="00597652" w:rsidP="00597652">
      <w:pPr>
        <w:rPr>
          <w:b/>
        </w:rPr>
      </w:pPr>
      <w:r>
        <w:rPr>
          <w:b/>
        </w:rPr>
        <w:t xml:space="preserve">Proposal </w:t>
      </w:r>
      <w:r w:rsidR="00D71533">
        <w:rPr>
          <w:b/>
        </w:rPr>
        <w:t>1</w:t>
      </w:r>
      <w:r>
        <w:rPr>
          <w:b/>
        </w:rPr>
        <w:t>: The amount of predicted data reported in the pre-emptive BSR is based on the UL grants provided by the IAB node to its child IAB nodes/UEs.</w:t>
      </w:r>
    </w:p>
    <w:p w14:paraId="751FBAD5" w14:textId="64642CD7" w:rsidR="00597652" w:rsidRPr="00460874" w:rsidRDefault="00597652" w:rsidP="00597652">
      <w:pPr>
        <w:rPr>
          <w:b/>
        </w:rPr>
      </w:pPr>
      <w:r>
        <w:rPr>
          <w:b/>
        </w:rPr>
        <w:t xml:space="preserve">Proposal </w:t>
      </w:r>
      <w:r w:rsidR="00D71533">
        <w:rPr>
          <w:b/>
        </w:rPr>
        <w:t>2</w:t>
      </w:r>
      <w:r>
        <w:rPr>
          <w:b/>
        </w:rPr>
        <w:t>: Available backhaul data in the IAB MT buffer is reported always along the pre-emptive BSR.</w:t>
      </w:r>
    </w:p>
    <w:p w14:paraId="74150C45" w14:textId="77777777" w:rsidR="00D71533" w:rsidRPr="00B3457D" w:rsidRDefault="00D71533" w:rsidP="00D71533">
      <w:pPr>
        <w:rPr>
          <w:b/>
        </w:rPr>
      </w:pPr>
      <w:r>
        <w:rPr>
          <w:b/>
        </w:rPr>
        <w:t>Proposal 3: T</w:t>
      </w:r>
      <w:r w:rsidRPr="00B3457D">
        <w:rPr>
          <w:b/>
        </w:rPr>
        <w:t xml:space="preserve">he SR configuration used, when the BSR is triggered by the pre-emptive BSR, </w:t>
      </w:r>
      <w:r>
        <w:rPr>
          <w:b/>
        </w:rPr>
        <w:t xml:space="preserve">is </w:t>
      </w:r>
      <w:r w:rsidRPr="00B3457D">
        <w:rPr>
          <w:b/>
        </w:rPr>
        <w:t>based on the highest priority</w:t>
      </w:r>
      <w:r>
        <w:rPr>
          <w:b/>
        </w:rPr>
        <w:t xml:space="preserve"> backhaul</w:t>
      </w:r>
      <w:r w:rsidRPr="00B3457D">
        <w:rPr>
          <w:b/>
        </w:rPr>
        <w:t xml:space="preserve"> LCH that has data available for transmission in the IAB MT buffer</w:t>
      </w:r>
      <w:r>
        <w:rPr>
          <w:b/>
        </w:rPr>
        <w:t>.</w:t>
      </w:r>
      <w:r w:rsidRPr="00B3457D">
        <w:t xml:space="preserve"> </w:t>
      </w:r>
      <w:r w:rsidRPr="00B3457D">
        <w:rPr>
          <w:b/>
        </w:rPr>
        <w:t>In case no data is available in the IAB MT buffer, i</w:t>
      </w:r>
      <w:r>
        <w:rPr>
          <w:b/>
        </w:rPr>
        <w:t>.</w:t>
      </w:r>
      <w:r w:rsidRPr="00B3457D">
        <w:rPr>
          <w:b/>
        </w:rPr>
        <w:t xml:space="preserve">e., only predicted data is reported, the </w:t>
      </w:r>
      <w:r>
        <w:rPr>
          <w:b/>
        </w:rPr>
        <w:t>IAB node can use any SR configuration available</w:t>
      </w:r>
      <w:r w:rsidRPr="00B3457D">
        <w:rPr>
          <w:b/>
        </w:rPr>
        <w:t>.</w:t>
      </w:r>
    </w:p>
    <w:p w14:paraId="1980E239" w14:textId="77777777" w:rsidR="00C624B0" w:rsidRPr="00A209D6" w:rsidRDefault="00C624B0" w:rsidP="00A209D6"/>
    <w:sectPr w:rsidR="00C624B0"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2AED4" w14:textId="77777777" w:rsidR="00597652" w:rsidRDefault="00597652">
      <w:r>
        <w:separator/>
      </w:r>
    </w:p>
  </w:endnote>
  <w:endnote w:type="continuationSeparator" w:id="0">
    <w:p w14:paraId="338CA421" w14:textId="77777777" w:rsidR="00597652" w:rsidRDefault="00597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597652" w:rsidRDefault="005976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597652" w:rsidRDefault="005976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597652" w:rsidRDefault="005976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7B1F5" w14:textId="77777777" w:rsidR="00597652" w:rsidRDefault="00597652">
      <w:r>
        <w:separator/>
      </w:r>
    </w:p>
  </w:footnote>
  <w:footnote w:type="continuationSeparator" w:id="0">
    <w:p w14:paraId="585EE600" w14:textId="77777777" w:rsidR="00597652" w:rsidRDefault="00597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597652" w:rsidRDefault="005976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597652" w:rsidRDefault="005976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597652" w:rsidRDefault="005976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682E61"/>
    <w:multiLevelType w:val="hybridMultilevel"/>
    <w:tmpl w:val="D38E74B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AFF38A7"/>
    <w:multiLevelType w:val="hybridMultilevel"/>
    <w:tmpl w:val="B1E8B0A4"/>
    <w:lvl w:ilvl="0" w:tplc="553E90BA">
      <w:start w:val="1"/>
      <w:numFmt w:val="lowerLetter"/>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7"/>
  </w:num>
  <w:num w:numId="10">
    <w:abstractNumId w:val="8"/>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7FF"/>
    <w:rsid w:val="0003096A"/>
    <w:rsid w:val="00033397"/>
    <w:rsid w:val="00040095"/>
    <w:rsid w:val="000415D4"/>
    <w:rsid w:val="00053F20"/>
    <w:rsid w:val="00062B5F"/>
    <w:rsid w:val="00066835"/>
    <w:rsid w:val="00073C9C"/>
    <w:rsid w:val="00080512"/>
    <w:rsid w:val="00087A65"/>
    <w:rsid w:val="00090468"/>
    <w:rsid w:val="00090948"/>
    <w:rsid w:val="000A47CF"/>
    <w:rsid w:val="000B7BCF"/>
    <w:rsid w:val="000C3B04"/>
    <w:rsid w:val="000C522B"/>
    <w:rsid w:val="000C6BAB"/>
    <w:rsid w:val="000D58AB"/>
    <w:rsid w:val="000E3FF2"/>
    <w:rsid w:val="000E7AAD"/>
    <w:rsid w:val="00106D73"/>
    <w:rsid w:val="001073EC"/>
    <w:rsid w:val="00112F1A"/>
    <w:rsid w:val="00145075"/>
    <w:rsid w:val="0015702F"/>
    <w:rsid w:val="00163DF2"/>
    <w:rsid w:val="00172360"/>
    <w:rsid w:val="00173193"/>
    <w:rsid w:val="00173200"/>
    <w:rsid w:val="001741A0"/>
    <w:rsid w:val="00175FA0"/>
    <w:rsid w:val="001864C4"/>
    <w:rsid w:val="00194CD0"/>
    <w:rsid w:val="001A6B32"/>
    <w:rsid w:val="001B49C9"/>
    <w:rsid w:val="001C4584"/>
    <w:rsid w:val="001C4F79"/>
    <w:rsid w:val="001C7027"/>
    <w:rsid w:val="001D2C3B"/>
    <w:rsid w:val="001D43A4"/>
    <w:rsid w:val="001F168B"/>
    <w:rsid w:val="001F4CA8"/>
    <w:rsid w:val="001F7831"/>
    <w:rsid w:val="002036C4"/>
    <w:rsid w:val="00204045"/>
    <w:rsid w:val="0020712B"/>
    <w:rsid w:val="00212C18"/>
    <w:rsid w:val="00214D89"/>
    <w:rsid w:val="00220AA4"/>
    <w:rsid w:val="00225728"/>
    <w:rsid w:val="0022606D"/>
    <w:rsid w:val="00226DEB"/>
    <w:rsid w:val="00231728"/>
    <w:rsid w:val="00241EFE"/>
    <w:rsid w:val="002429D1"/>
    <w:rsid w:val="002556D7"/>
    <w:rsid w:val="002610D8"/>
    <w:rsid w:val="00267AD1"/>
    <w:rsid w:val="002747EC"/>
    <w:rsid w:val="002831F5"/>
    <w:rsid w:val="002855BF"/>
    <w:rsid w:val="00294879"/>
    <w:rsid w:val="002A7437"/>
    <w:rsid w:val="002B123C"/>
    <w:rsid w:val="002B3886"/>
    <w:rsid w:val="002B713B"/>
    <w:rsid w:val="002C2BE6"/>
    <w:rsid w:val="002C2CE3"/>
    <w:rsid w:val="002D065B"/>
    <w:rsid w:val="002D2F89"/>
    <w:rsid w:val="002E32A8"/>
    <w:rsid w:val="002E702D"/>
    <w:rsid w:val="002F0D22"/>
    <w:rsid w:val="002F5185"/>
    <w:rsid w:val="002F60E0"/>
    <w:rsid w:val="002F712E"/>
    <w:rsid w:val="00304B6B"/>
    <w:rsid w:val="00315177"/>
    <w:rsid w:val="003172DC"/>
    <w:rsid w:val="00325AE3"/>
    <w:rsid w:val="00326069"/>
    <w:rsid w:val="0035462D"/>
    <w:rsid w:val="00364B41"/>
    <w:rsid w:val="0037611E"/>
    <w:rsid w:val="00383096"/>
    <w:rsid w:val="003A41EF"/>
    <w:rsid w:val="003B37CE"/>
    <w:rsid w:val="003B40AD"/>
    <w:rsid w:val="003B767C"/>
    <w:rsid w:val="003C4E37"/>
    <w:rsid w:val="003D5563"/>
    <w:rsid w:val="003E16BE"/>
    <w:rsid w:val="003E2413"/>
    <w:rsid w:val="003F4D0B"/>
    <w:rsid w:val="003F4E28"/>
    <w:rsid w:val="004006E8"/>
    <w:rsid w:val="00401855"/>
    <w:rsid w:val="00410614"/>
    <w:rsid w:val="00421589"/>
    <w:rsid w:val="00454407"/>
    <w:rsid w:val="004565C1"/>
    <w:rsid w:val="00460874"/>
    <w:rsid w:val="00465587"/>
    <w:rsid w:val="00477455"/>
    <w:rsid w:val="0048036C"/>
    <w:rsid w:val="00485AA7"/>
    <w:rsid w:val="004A1F7B"/>
    <w:rsid w:val="004B54B2"/>
    <w:rsid w:val="004C44D2"/>
    <w:rsid w:val="004D3578"/>
    <w:rsid w:val="004D380D"/>
    <w:rsid w:val="004D5216"/>
    <w:rsid w:val="004E1A2A"/>
    <w:rsid w:val="004E213A"/>
    <w:rsid w:val="00503171"/>
    <w:rsid w:val="00506C28"/>
    <w:rsid w:val="00507A7C"/>
    <w:rsid w:val="0051131A"/>
    <w:rsid w:val="0053271B"/>
    <w:rsid w:val="00534DA0"/>
    <w:rsid w:val="00543E6C"/>
    <w:rsid w:val="00565087"/>
    <w:rsid w:val="0056573F"/>
    <w:rsid w:val="005916C9"/>
    <w:rsid w:val="00597652"/>
    <w:rsid w:val="005C7A2A"/>
    <w:rsid w:val="005D59F2"/>
    <w:rsid w:val="00605AE3"/>
    <w:rsid w:val="00611566"/>
    <w:rsid w:val="00625733"/>
    <w:rsid w:val="00646D99"/>
    <w:rsid w:val="00656910"/>
    <w:rsid w:val="006872F1"/>
    <w:rsid w:val="006B174B"/>
    <w:rsid w:val="006C66D8"/>
    <w:rsid w:val="006D1E24"/>
    <w:rsid w:val="006E1417"/>
    <w:rsid w:val="006F6A2C"/>
    <w:rsid w:val="00702F65"/>
    <w:rsid w:val="00706168"/>
    <w:rsid w:val="00710201"/>
    <w:rsid w:val="00720020"/>
    <w:rsid w:val="0072073A"/>
    <w:rsid w:val="00723D03"/>
    <w:rsid w:val="007342B5"/>
    <w:rsid w:val="00734A5B"/>
    <w:rsid w:val="007448E6"/>
    <w:rsid w:val="00744E76"/>
    <w:rsid w:val="00757D40"/>
    <w:rsid w:val="00781F0F"/>
    <w:rsid w:val="0078727C"/>
    <w:rsid w:val="0079049D"/>
    <w:rsid w:val="00793DC5"/>
    <w:rsid w:val="007974F9"/>
    <w:rsid w:val="007A2FAC"/>
    <w:rsid w:val="007A59AF"/>
    <w:rsid w:val="007B18D8"/>
    <w:rsid w:val="007C095F"/>
    <w:rsid w:val="007C2DD0"/>
    <w:rsid w:val="007D0FA6"/>
    <w:rsid w:val="007E44CC"/>
    <w:rsid w:val="007E44CE"/>
    <w:rsid w:val="007F30B9"/>
    <w:rsid w:val="008028A4"/>
    <w:rsid w:val="00813245"/>
    <w:rsid w:val="00827467"/>
    <w:rsid w:val="008768CA"/>
    <w:rsid w:val="00877EF9"/>
    <w:rsid w:val="00880559"/>
    <w:rsid w:val="00883BE6"/>
    <w:rsid w:val="0088446C"/>
    <w:rsid w:val="00886AA4"/>
    <w:rsid w:val="008A36C4"/>
    <w:rsid w:val="008A5100"/>
    <w:rsid w:val="008B5306"/>
    <w:rsid w:val="008B7A7B"/>
    <w:rsid w:val="008D2E4D"/>
    <w:rsid w:val="008D69E6"/>
    <w:rsid w:val="008D7245"/>
    <w:rsid w:val="008E7E3A"/>
    <w:rsid w:val="008F1984"/>
    <w:rsid w:val="008F396F"/>
    <w:rsid w:val="008F5FC1"/>
    <w:rsid w:val="0090271F"/>
    <w:rsid w:val="00902DB9"/>
    <w:rsid w:val="00903A98"/>
    <w:rsid w:val="0090466A"/>
    <w:rsid w:val="00936071"/>
    <w:rsid w:val="00940212"/>
    <w:rsid w:val="00942EC2"/>
    <w:rsid w:val="0095042E"/>
    <w:rsid w:val="00961B32"/>
    <w:rsid w:val="00962509"/>
    <w:rsid w:val="00970DB3"/>
    <w:rsid w:val="00973C3F"/>
    <w:rsid w:val="00974BB0"/>
    <w:rsid w:val="00981FC9"/>
    <w:rsid w:val="0099261A"/>
    <w:rsid w:val="00994317"/>
    <w:rsid w:val="009A0AF3"/>
    <w:rsid w:val="009B07CD"/>
    <w:rsid w:val="009B110A"/>
    <w:rsid w:val="009B4E88"/>
    <w:rsid w:val="009B5520"/>
    <w:rsid w:val="009B6F1F"/>
    <w:rsid w:val="009B709D"/>
    <w:rsid w:val="009C19E9"/>
    <w:rsid w:val="009D5C85"/>
    <w:rsid w:val="009D74A6"/>
    <w:rsid w:val="00A03B77"/>
    <w:rsid w:val="00A10F02"/>
    <w:rsid w:val="00A1139B"/>
    <w:rsid w:val="00A136C9"/>
    <w:rsid w:val="00A13944"/>
    <w:rsid w:val="00A14A06"/>
    <w:rsid w:val="00A204CA"/>
    <w:rsid w:val="00A209D6"/>
    <w:rsid w:val="00A328D4"/>
    <w:rsid w:val="00A35DD1"/>
    <w:rsid w:val="00A53724"/>
    <w:rsid w:val="00A54B2B"/>
    <w:rsid w:val="00A6217A"/>
    <w:rsid w:val="00A70A99"/>
    <w:rsid w:val="00A738BA"/>
    <w:rsid w:val="00A75E2C"/>
    <w:rsid w:val="00A82346"/>
    <w:rsid w:val="00A8737D"/>
    <w:rsid w:val="00A8792B"/>
    <w:rsid w:val="00A9671C"/>
    <w:rsid w:val="00AA1553"/>
    <w:rsid w:val="00AA2288"/>
    <w:rsid w:val="00AB057E"/>
    <w:rsid w:val="00AB149E"/>
    <w:rsid w:val="00AC0A8E"/>
    <w:rsid w:val="00AF3BE8"/>
    <w:rsid w:val="00B05380"/>
    <w:rsid w:val="00B0550D"/>
    <w:rsid w:val="00B05962"/>
    <w:rsid w:val="00B15449"/>
    <w:rsid w:val="00B27303"/>
    <w:rsid w:val="00B3457D"/>
    <w:rsid w:val="00B41627"/>
    <w:rsid w:val="00B47FD1"/>
    <w:rsid w:val="00B516BB"/>
    <w:rsid w:val="00B525A4"/>
    <w:rsid w:val="00B84DB2"/>
    <w:rsid w:val="00B85134"/>
    <w:rsid w:val="00B938B4"/>
    <w:rsid w:val="00BB1D64"/>
    <w:rsid w:val="00BC3555"/>
    <w:rsid w:val="00BD3C4A"/>
    <w:rsid w:val="00BF1E26"/>
    <w:rsid w:val="00C0491E"/>
    <w:rsid w:val="00C12B51"/>
    <w:rsid w:val="00C210CD"/>
    <w:rsid w:val="00C23C66"/>
    <w:rsid w:val="00C24650"/>
    <w:rsid w:val="00C24FCA"/>
    <w:rsid w:val="00C25465"/>
    <w:rsid w:val="00C33079"/>
    <w:rsid w:val="00C36505"/>
    <w:rsid w:val="00C373B5"/>
    <w:rsid w:val="00C37F35"/>
    <w:rsid w:val="00C624B0"/>
    <w:rsid w:val="00C62EAC"/>
    <w:rsid w:val="00C74EC0"/>
    <w:rsid w:val="00C81E94"/>
    <w:rsid w:val="00C83A13"/>
    <w:rsid w:val="00C9068C"/>
    <w:rsid w:val="00C92967"/>
    <w:rsid w:val="00C94E0D"/>
    <w:rsid w:val="00CA3D0C"/>
    <w:rsid w:val="00CA654B"/>
    <w:rsid w:val="00CB72B8"/>
    <w:rsid w:val="00CD2C2D"/>
    <w:rsid w:val="00CD4C7B"/>
    <w:rsid w:val="00CE0093"/>
    <w:rsid w:val="00D33BE3"/>
    <w:rsid w:val="00D3792D"/>
    <w:rsid w:val="00D55E47"/>
    <w:rsid w:val="00D62E19"/>
    <w:rsid w:val="00D67CD1"/>
    <w:rsid w:val="00D71533"/>
    <w:rsid w:val="00D738D6"/>
    <w:rsid w:val="00D73D7D"/>
    <w:rsid w:val="00D80795"/>
    <w:rsid w:val="00D82BB2"/>
    <w:rsid w:val="00D82FB3"/>
    <w:rsid w:val="00D854BE"/>
    <w:rsid w:val="00D87E00"/>
    <w:rsid w:val="00D9134D"/>
    <w:rsid w:val="00D96D11"/>
    <w:rsid w:val="00D97F9F"/>
    <w:rsid w:val="00DA265E"/>
    <w:rsid w:val="00DA7A03"/>
    <w:rsid w:val="00DB0DB8"/>
    <w:rsid w:val="00DB1818"/>
    <w:rsid w:val="00DB6666"/>
    <w:rsid w:val="00DC309B"/>
    <w:rsid w:val="00DC4DA2"/>
    <w:rsid w:val="00DC7CC0"/>
    <w:rsid w:val="00DD77D8"/>
    <w:rsid w:val="00E010AD"/>
    <w:rsid w:val="00E02F11"/>
    <w:rsid w:val="00E1058E"/>
    <w:rsid w:val="00E34934"/>
    <w:rsid w:val="00E35BD0"/>
    <w:rsid w:val="00E46238"/>
    <w:rsid w:val="00E46C08"/>
    <w:rsid w:val="00E471CF"/>
    <w:rsid w:val="00E62835"/>
    <w:rsid w:val="00E66681"/>
    <w:rsid w:val="00E757CA"/>
    <w:rsid w:val="00E77645"/>
    <w:rsid w:val="00E83697"/>
    <w:rsid w:val="00E84AFC"/>
    <w:rsid w:val="00E9667B"/>
    <w:rsid w:val="00EA27A0"/>
    <w:rsid w:val="00EA66C9"/>
    <w:rsid w:val="00EB6B20"/>
    <w:rsid w:val="00EC2330"/>
    <w:rsid w:val="00EC4A25"/>
    <w:rsid w:val="00F025A2"/>
    <w:rsid w:val="00F07388"/>
    <w:rsid w:val="00F2026E"/>
    <w:rsid w:val="00F2210A"/>
    <w:rsid w:val="00F37743"/>
    <w:rsid w:val="00F41052"/>
    <w:rsid w:val="00F45771"/>
    <w:rsid w:val="00F54A3D"/>
    <w:rsid w:val="00F54CB0"/>
    <w:rsid w:val="00F628FB"/>
    <w:rsid w:val="00F653B8"/>
    <w:rsid w:val="00F71B89"/>
    <w:rsid w:val="00F7353C"/>
    <w:rsid w:val="00F74452"/>
    <w:rsid w:val="00F76F8F"/>
    <w:rsid w:val="00F82A09"/>
    <w:rsid w:val="00F941DF"/>
    <w:rsid w:val="00F97373"/>
    <w:rsid w:val="00FA1266"/>
    <w:rsid w:val="00FB36FA"/>
    <w:rsid w:val="00FB539A"/>
    <w:rsid w:val="00FC0643"/>
    <w:rsid w:val="00FC1192"/>
    <w:rsid w:val="00FD181E"/>
    <w:rsid w:val="00FE06E0"/>
    <w:rsid w:val="00FE251B"/>
    <w:rsid w:val="00FF2110"/>
    <w:rsid w:val="00FF22B4"/>
    <w:rsid w:val="00FF593C"/>
    <w:rsid w:val="295ADD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Typewriter"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C06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C0643"/>
    <w:rPr>
      <w:rFonts w:ascii="Arial" w:hAnsi="Arial"/>
      <w:b/>
      <w:lang w:eastAsia="en-US"/>
    </w:rPr>
  </w:style>
  <w:style w:type="paragraph" w:customStyle="1" w:styleId="Agreement">
    <w:name w:val="Agreement"/>
    <w:basedOn w:val="Normal"/>
    <w:next w:val="Normal"/>
    <w:qFormat/>
    <w:rsid w:val="00F74452"/>
    <w:pPr>
      <w:numPr>
        <w:numId w:val="10"/>
      </w:numPr>
      <w:tabs>
        <w:tab w:val="clear" w:pos="4680"/>
        <w:tab w:val="num" w:pos="1619"/>
      </w:tabs>
      <w:spacing w:before="60" w:after="0"/>
      <w:ind w:left="1619"/>
    </w:pPr>
    <w:rPr>
      <w:rFonts w:ascii="Arial" w:eastAsia="MS Mincho" w:hAnsi="Arial"/>
      <w:b/>
      <w:szCs w:val="24"/>
      <w:lang w:eastAsia="en-GB"/>
    </w:rPr>
  </w:style>
  <w:style w:type="paragraph" w:styleId="ListParagraph">
    <w:name w:val="List Paragraph"/>
    <w:basedOn w:val="Normal"/>
    <w:uiPriority w:val="34"/>
    <w:qFormat/>
    <w:rsid w:val="00DC7CC0"/>
    <w:pPr>
      <w:ind w:left="720"/>
      <w:contextualSpacing/>
    </w:pPr>
  </w:style>
  <w:style w:type="character" w:styleId="CommentReference">
    <w:name w:val="annotation reference"/>
    <w:basedOn w:val="DefaultParagraphFont"/>
    <w:rsid w:val="005916C9"/>
    <w:rPr>
      <w:sz w:val="16"/>
      <w:szCs w:val="16"/>
    </w:rPr>
  </w:style>
  <w:style w:type="paragraph" w:styleId="CommentText">
    <w:name w:val="annotation text"/>
    <w:basedOn w:val="Normal"/>
    <w:link w:val="CommentTextChar"/>
    <w:rsid w:val="005916C9"/>
  </w:style>
  <w:style w:type="character" w:customStyle="1" w:styleId="CommentTextChar">
    <w:name w:val="Comment Text Char"/>
    <w:basedOn w:val="DefaultParagraphFont"/>
    <w:link w:val="CommentText"/>
    <w:rsid w:val="005916C9"/>
    <w:rPr>
      <w:lang w:eastAsia="en-US"/>
    </w:rPr>
  </w:style>
  <w:style w:type="paragraph" w:styleId="CommentSubject">
    <w:name w:val="annotation subject"/>
    <w:basedOn w:val="CommentText"/>
    <w:next w:val="CommentText"/>
    <w:link w:val="CommentSubjectChar"/>
    <w:rsid w:val="005916C9"/>
    <w:rPr>
      <w:b/>
      <w:bCs/>
    </w:rPr>
  </w:style>
  <w:style w:type="character" w:customStyle="1" w:styleId="CommentSubjectChar">
    <w:name w:val="Comment Subject Char"/>
    <w:basedOn w:val="CommentTextChar"/>
    <w:link w:val="CommentSubject"/>
    <w:rsid w:val="005916C9"/>
    <w:rPr>
      <w:b/>
      <w:bCs/>
      <w:lang w:eastAsia="en-US"/>
    </w:rPr>
  </w:style>
  <w:style w:type="character" w:customStyle="1" w:styleId="Doc-text2Char">
    <w:name w:val="Doc-text2 Char"/>
    <w:link w:val="Doc-text2"/>
    <w:qFormat/>
    <w:locked/>
    <w:rsid w:val="00FB539A"/>
    <w:rPr>
      <w:rFonts w:ascii="Arial" w:eastAsia="Yu Gothic" w:hAnsi="Arial" w:cs="Calibri"/>
      <w:szCs w:val="22"/>
      <w:lang w:val="x-none" w:eastAsia="x-none"/>
    </w:rPr>
  </w:style>
  <w:style w:type="paragraph" w:customStyle="1" w:styleId="Doc-text2">
    <w:name w:val="Doc-text2"/>
    <w:basedOn w:val="Normal"/>
    <w:link w:val="Doc-text2Char"/>
    <w:qFormat/>
    <w:rsid w:val="00FB539A"/>
    <w:pPr>
      <w:tabs>
        <w:tab w:val="left" w:pos="1622"/>
      </w:tabs>
      <w:spacing w:after="0"/>
      <w:ind w:left="1622" w:hanging="363"/>
    </w:pPr>
    <w:rPr>
      <w:rFonts w:ascii="Arial" w:eastAsia="Yu Gothic" w:hAnsi="Arial" w:cs="Calibri"/>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5312138">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5AIRPNAIUNRU-859666464-5636</_dlc_DocId>
    <_dlc_DocIdUrl xmlns="71c5aaf6-e6ce-465b-b873-5148d2a4c105">
      <Url>https://nokia.sharepoint.com/sites/c5g/e2earch/_layouts/15/DocIdRedir.aspx?ID=5AIRPNAIUNRU-859666464-5636</Url>
      <Description>5AIRPNAIUNRU-859666464-5636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C1CDF-E67E-4610-B9A6-51DC71BB6845}">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purl.org/dc/term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2399C148-C195-4F2F-885A-35137307B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67360A6-4720-4DF2-BA1A-E13FB2E92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2</Pages>
  <Words>798</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8</cp:revision>
  <dcterms:created xsi:type="dcterms:W3CDTF">2019-11-07T12:03:00Z</dcterms:created>
  <dcterms:modified xsi:type="dcterms:W3CDTF">2020-02-13T11:31:00Z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747caedd-feb6-405f-8b5a-c8569ea4e416</vt:lpwstr>
  </property>
</Properties>
</file>